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bookmarkStart w:id="0" w:name="_GoBack"/>
      <w:bookmarkEnd w:id="0"/>
      <w:r w:rsidRPr="00132BA2">
        <w:rPr>
          <w:rFonts w:ascii="Times New Roman" w:eastAsia="Times New Roman" w:hAnsi="Times New Roman" w:cs="Times New Roman"/>
          <w:color w:val="000000"/>
          <w:lang w:eastAsia="tr-TR"/>
        </w:rPr>
        <w:t>SAĞLIK BAKANLIĞI DÖNER SERMAYE MERKEZ SAYMANLIĞINA AKTARILAN MERKEZ PAYINDAN SÖZLEŞMELİ UZMAN TABİP VE TABİPLERE EK ÖDEME YAPILMASINA DAİR YÖNERGE</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Times New Roman" w:eastAsia="Times New Roman" w:hAnsi="Times New Roman" w:cs="Times New Roman"/>
          <w:color w:val="000000"/>
          <w:lang w:eastAsia="tr-TR"/>
        </w:rPr>
        <w:t>(07.02.2005 tarih ve 462 sayılı Bakan onayı ile yürürlüğe girmiştir)</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Amaç</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proofErr w:type="gramStart"/>
      <w:r w:rsidRPr="00132BA2">
        <w:rPr>
          <w:rFonts w:ascii="Helvetica" w:eastAsia="Times New Roman" w:hAnsi="Helvetica" w:cs="Helvetica"/>
          <w:color w:val="000000"/>
          <w:lang w:eastAsia="tr-TR"/>
        </w:rPr>
        <w:t xml:space="preserve">Madde 1- 10.7.2003 tarihli ve 4924 sayılı Kanun uyarınca istihdam edilen sözleşmeli uzman tabip ve pratisyen tabiplerden, Devlet Memurlarının Yer Değiştirme Suretiyle Atanmalarına Dair Yönetmeliğe ekli (1) sayılı cetvelde yer alan 5 ve 6 </w:t>
      </w:r>
      <w:proofErr w:type="spellStart"/>
      <w:r w:rsidRPr="00132BA2">
        <w:rPr>
          <w:rFonts w:ascii="Helvetica" w:eastAsia="Times New Roman" w:hAnsi="Helvetica" w:cs="Helvetica"/>
          <w:color w:val="000000"/>
          <w:lang w:eastAsia="tr-TR"/>
        </w:rPr>
        <w:t>ncı</w:t>
      </w:r>
      <w:proofErr w:type="spellEnd"/>
      <w:r w:rsidRPr="00132BA2">
        <w:rPr>
          <w:rFonts w:ascii="Helvetica" w:eastAsia="Times New Roman" w:hAnsi="Helvetica" w:cs="Helvetica"/>
          <w:color w:val="000000"/>
          <w:lang w:eastAsia="tr-TR"/>
        </w:rPr>
        <w:t xml:space="preserve"> hizmet bölgelerinde bulunan illerin, Bakanlıkça bu Yönergeyle belirlenen yerlerinde çalışanlara, Sağlık Bakanlığı Döner Sermaye Merkez Saymanlığına aktarılan merkez payından yapılacak ek ödemenin oran, usul ve esaslarını belirlemektir.</w:t>
      </w:r>
      <w:proofErr w:type="gramEnd"/>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Kapsam</w:t>
      </w:r>
    </w:p>
    <w:p w:rsidR="00132BA2" w:rsidRPr="00132BA2" w:rsidRDefault="00132BA2" w:rsidP="00132BA2">
      <w:pPr>
        <w:shd w:val="clear" w:color="auto" w:fill="FFFFFF"/>
        <w:spacing w:after="150" w:line="259" w:lineRule="atLeast"/>
        <w:ind w:firstLine="708"/>
        <w:jc w:val="both"/>
        <w:outlineLvl w:val="4"/>
        <w:rPr>
          <w:rFonts w:ascii="Helvetica" w:eastAsia="Times New Roman" w:hAnsi="Helvetica" w:cs="Helvetica"/>
          <w:caps/>
          <w:color w:val="000000"/>
          <w:sz w:val="21"/>
          <w:szCs w:val="21"/>
          <w:lang w:eastAsia="tr-TR"/>
        </w:rPr>
      </w:pPr>
      <w:proofErr w:type="gramStart"/>
      <w:r w:rsidRPr="00132BA2">
        <w:rPr>
          <w:rFonts w:ascii="Helvetica" w:eastAsia="Times New Roman" w:hAnsi="Helvetica" w:cs="Helvetica"/>
          <w:caps/>
          <w:color w:val="000000"/>
          <w:lang w:eastAsia="tr-TR"/>
        </w:rPr>
        <w:t>MADDE 2- BU YÖNERGE; 10.7.2003 TARİHLİ VE 4924 SAYILI KANUN UYARINCA, DEVLET MEMURLARININ YER DEĞİŞTİRME SURETİYLE ATANMALARINA DAİR YÖNETMELİĞE EKLİ (1) SAYILI CETVELDE YER ALAN 5 VE 6 NCI HİZMET BÖLGELERİNDE BULUNAN İLLERİN BU YÖNERGEYE EKLİ (3) SAYILI LİSTEDE YER ALAN YERLERİNDE ÇALIŞAN SÖZLEŞMELİ UZMAN TABİP VE PRATİSYEN TABİPLERİ KAPSAR.</w:t>
      </w:r>
      <w:proofErr w:type="gramEnd"/>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Hukukî Dayanak</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3-</w:t>
      </w:r>
      <w:r w:rsidRPr="00132BA2">
        <w:rPr>
          <w:rFonts w:ascii="Helvetica" w:eastAsia="Times New Roman" w:hAnsi="Helvetica" w:cs="Helvetica"/>
          <w:color w:val="000000"/>
          <w:lang w:eastAsia="tr-TR"/>
        </w:rPr>
        <w:t xml:space="preserve"> Bu Yönerge, 2005 Malî Yılı Bütçe Kanununun 37 </w:t>
      </w:r>
      <w:proofErr w:type="spellStart"/>
      <w:r w:rsidRPr="00132BA2">
        <w:rPr>
          <w:rFonts w:ascii="Helvetica" w:eastAsia="Times New Roman" w:hAnsi="Helvetica" w:cs="Helvetica"/>
          <w:color w:val="000000"/>
          <w:lang w:eastAsia="tr-TR"/>
        </w:rPr>
        <w:t>nci</w:t>
      </w:r>
      <w:proofErr w:type="spellEnd"/>
      <w:r w:rsidRPr="00132BA2">
        <w:rPr>
          <w:rFonts w:ascii="Helvetica" w:eastAsia="Times New Roman" w:hAnsi="Helvetica" w:cs="Helvetica"/>
          <w:color w:val="000000"/>
          <w:lang w:eastAsia="tr-TR"/>
        </w:rPr>
        <w:t xml:space="preserve"> maddesinin (d) fıkrasına dayanılarak hazırlanmıştır.</w:t>
      </w:r>
    </w:p>
    <w:p w:rsidR="00132BA2" w:rsidRPr="00132BA2" w:rsidRDefault="00132BA2" w:rsidP="00132BA2">
      <w:pPr>
        <w:shd w:val="clear" w:color="auto" w:fill="FFFFFF"/>
        <w:spacing w:before="150" w:after="225" w:line="243" w:lineRule="atLeast"/>
        <w:ind w:firstLine="709"/>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Tanımlar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4-</w:t>
      </w:r>
      <w:r w:rsidRPr="00132BA2">
        <w:rPr>
          <w:rFonts w:ascii="Helvetica" w:eastAsia="Times New Roman" w:hAnsi="Helvetica" w:cs="Helvetica"/>
          <w:color w:val="000000"/>
          <w:lang w:eastAsia="tr-TR"/>
        </w:rPr>
        <w:t> Bu Yönergede geçen;</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a) Bakanlık:</w:t>
      </w:r>
      <w:r w:rsidRPr="00132BA2">
        <w:rPr>
          <w:rFonts w:ascii="Helvetica" w:eastAsia="Times New Roman" w:hAnsi="Helvetica" w:cs="Helvetica"/>
          <w:color w:val="000000"/>
          <w:lang w:eastAsia="tr-TR"/>
        </w:rPr>
        <w:t> Sağlık Bakanlığını,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xml:space="preserve">b) </w:t>
      </w:r>
      <w:proofErr w:type="gramStart"/>
      <w:r w:rsidRPr="00132BA2">
        <w:rPr>
          <w:rFonts w:ascii="Helvetica" w:eastAsia="Times New Roman" w:hAnsi="Helvetica" w:cs="Helvetica"/>
          <w:b/>
          <w:bCs/>
          <w:color w:val="000000"/>
          <w:lang w:eastAsia="tr-TR"/>
        </w:rPr>
        <w:t>Personel </w:t>
      </w:r>
      <w:r w:rsidRPr="00132BA2">
        <w:rPr>
          <w:rFonts w:ascii="Helvetica" w:eastAsia="Times New Roman" w:hAnsi="Helvetica" w:cs="Helvetica"/>
          <w:color w:val="000000"/>
          <w:lang w:eastAsia="tr-TR"/>
        </w:rPr>
        <w:t>:10</w:t>
      </w:r>
      <w:proofErr w:type="gramEnd"/>
      <w:r w:rsidRPr="00132BA2">
        <w:rPr>
          <w:rFonts w:ascii="Helvetica" w:eastAsia="Times New Roman" w:hAnsi="Helvetica" w:cs="Helvetica"/>
          <w:color w:val="000000"/>
          <w:lang w:eastAsia="tr-TR"/>
        </w:rPr>
        <w:t xml:space="preserve">.7.2003 tarihli ve 4924 sayılı Kanun uyarınca, Devlet Memurlarının Yer Değiştirme Suretiyle Atanmalarına Dair Yönetmeliğe ekli (1) sayılı cetvelde yer alan 5 ve 6 </w:t>
      </w:r>
      <w:proofErr w:type="spellStart"/>
      <w:r w:rsidRPr="00132BA2">
        <w:rPr>
          <w:rFonts w:ascii="Helvetica" w:eastAsia="Times New Roman" w:hAnsi="Helvetica" w:cs="Helvetica"/>
          <w:color w:val="000000"/>
          <w:lang w:eastAsia="tr-TR"/>
        </w:rPr>
        <w:t>ncı</w:t>
      </w:r>
      <w:proofErr w:type="spellEnd"/>
      <w:r w:rsidRPr="00132BA2">
        <w:rPr>
          <w:rFonts w:ascii="Helvetica" w:eastAsia="Times New Roman" w:hAnsi="Helvetica" w:cs="Helvetica"/>
          <w:color w:val="000000"/>
          <w:lang w:eastAsia="tr-TR"/>
        </w:rPr>
        <w:t xml:space="preserve"> hizmet bölgelerinde bulunan illerin bu yönergeye ekli (3) sayılı listede yer alan yerlerinde çalışan sözleşmeli uzman tabip ve pratisyen tabipleri,</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c) Ödeme Dönemi:</w:t>
      </w:r>
      <w:r w:rsidRPr="00132BA2">
        <w:rPr>
          <w:rFonts w:ascii="Helvetica" w:eastAsia="Times New Roman" w:hAnsi="Helvetica" w:cs="Helvetica"/>
          <w:color w:val="000000"/>
          <w:lang w:eastAsia="tr-TR"/>
        </w:rPr>
        <w:t> Bakanlık döner sermaye merkez saymanlığına aktarılan merkez payından yapılacak aylık ek ödeme dönemlerini,</w:t>
      </w:r>
    </w:p>
    <w:p w:rsidR="00132BA2" w:rsidRPr="00132BA2" w:rsidRDefault="00132BA2" w:rsidP="00132BA2">
      <w:pPr>
        <w:shd w:val="clear" w:color="auto" w:fill="FFFFFF"/>
        <w:spacing w:after="150" w:line="281" w:lineRule="atLeast"/>
        <w:ind w:firstLine="708"/>
        <w:jc w:val="both"/>
        <w:outlineLvl w:val="3"/>
        <w:rPr>
          <w:rFonts w:ascii="Helvetica" w:eastAsia="Times New Roman" w:hAnsi="Helvetica" w:cs="Helvetica"/>
          <w:color w:val="000000"/>
          <w:sz w:val="21"/>
          <w:szCs w:val="21"/>
          <w:lang w:eastAsia="tr-TR"/>
        </w:rPr>
      </w:pPr>
      <w:r w:rsidRPr="00132BA2">
        <w:rPr>
          <w:rFonts w:ascii="Helvetica" w:eastAsia="Times New Roman" w:hAnsi="Helvetica" w:cs="Helvetica"/>
          <w:color w:val="000000"/>
          <w:lang w:eastAsia="tr-TR"/>
        </w:rPr>
        <w:t xml:space="preserve">d) Performans Yönergesi: Bu Yönerge kapsamındaki personelin tabi olduğu, “Sağlık Bakanlığına Bağlı İkinci ve Üçüncü Basamak Sağlık Kurumlarında Görevli Personele Döner Sermaye Gelirlerinden Ek Ödeme Yapılmasına Dair Yönerge” ile “Sağlık Bakanlığına Bağlı </w:t>
      </w:r>
      <w:r w:rsidRPr="00132BA2">
        <w:rPr>
          <w:rFonts w:ascii="Helvetica" w:eastAsia="Times New Roman" w:hAnsi="Helvetica" w:cs="Helvetica"/>
          <w:color w:val="000000"/>
          <w:lang w:eastAsia="tr-TR"/>
        </w:rPr>
        <w:lastRenderedPageBreak/>
        <w:t xml:space="preserve">Birinci Basamak Sağlık Kuruluşlarında Görevli Personele Döner Sermaye Gelirlerinden Ek Ödeme Yapılmasına Dair Yönerge” </w:t>
      </w:r>
      <w:proofErr w:type="spellStart"/>
      <w:r w:rsidRPr="00132BA2">
        <w:rPr>
          <w:rFonts w:ascii="Helvetica" w:eastAsia="Times New Roman" w:hAnsi="Helvetica" w:cs="Helvetica"/>
          <w:color w:val="000000"/>
          <w:lang w:eastAsia="tr-TR"/>
        </w:rPr>
        <w:t>yi</w:t>
      </w:r>
      <w:proofErr w:type="spellEnd"/>
      <w:r w:rsidRPr="00132BA2">
        <w:rPr>
          <w:rFonts w:ascii="Helvetica" w:eastAsia="Times New Roman" w:hAnsi="Helvetica" w:cs="Helvetica"/>
          <w:color w:val="000000"/>
          <w:lang w:eastAsia="tr-TR"/>
        </w:rPr>
        <w:t>,</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e) Bölge Gelişmişlik Katsayısı: </w:t>
      </w:r>
      <w:r w:rsidRPr="00132BA2">
        <w:rPr>
          <w:rFonts w:ascii="Helvetica" w:eastAsia="Times New Roman" w:hAnsi="Helvetica" w:cs="Helvetica"/>
          <w:color w:val="000000"/>
          <w:lang w:eastAsia="tr-TR"/>
        </w:rPr>
        <w:t>Personelin çalıştığı yer için, bu Yönergeye ekli (3) sayılı listede belirlenen katsayıyı,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f) Aktif Çalışma Gün Katsayısı:</w:t>
      </w:r>
      <w:r w:rsidRPr="00132BA2">
        <w:rPr>
          <w:rFonts w:ascii="Helvetica" w:eastAsia="Times New Roman" w:hAnsi="Helvetica" w:cs="Helvetica"/>
          <w:color w:val="000000"/>
          <w:lang w:eastAsia="tr-TR"/>
        </w:rPr>
        <w:t> Personelin tabi olduğu performans yönergesine göre kurumunda hesaplanan ve yönergeye ekli (2) sayılı listede yer alan aktif çalışma gün katsayısını,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g) Kurum Brüt Ek ödeme Tutarı: </w:t>
      </w:r>
      <w:r w:rsidRPr="00132BA2">
        <w:rPr>
          <w:rFonts w:ascii="Helvetica" w:eastAsia="Times New Roman" w:hAnsi="Helvetica" w:cs="Helvetica"/>
          <w:color w:val="000000"/>
          <w:lang w:eastAsia="tr-TR"/>
        </w:rPr>
        <w:t>Personelin tabi olduğu performans yönergesine göre kurumunda hesaplanan ve yönergeye ekli (2) sayılı listede yer alan brüt ek ödeme tutarını,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proofErr w:type="gramStart"/>
      <w:r w:rsidRPr="00132BA2">
        <w:rPr>
          <w:rFonts w:ascii="Helvetica" w:eastAsia="Times New Roman" w:hAnsi="Helvetica" w:cs="Helvetica"/>
          <w:b/>
          <w:bCs/>
          <w:color w:val="000000"/>
          <w:lang w:eastAsia="tr-TR"/>
        </w:rPr>
        <w:t>h) Personel Toplam Puanı: </w:t>
      </w:r>
      <w:r w:rsidRPr="00132BA2">
        <w:rPr>
          <w:rFonts w:ascii="Helvetica" w:eastAsia="Times New Roman" w:hAnsi="Helvetica" w:cs="Helvetica"/>
          <w:color w:val="000000"/>
          <w:lang w:eastAsia="tr-TR"/>
        </w:rPr>
        <w:t>Personelin, yönergeye ekli (2) sayılı listede yer alan, bağlı olduğu performans yönergesine göre hesaplanan net performans puanının, bölge gelişmişlik katsayısı ile çarpılması sonucu bulunan puana, il merkezindeki kadrolarda çalışanlar için 100, ilçe merkezindeki kadrolarda çalışanlar için 500, diğer yerlerde çalışanlar için 1000 puan eklenmesi sonucu bulunan puanı,</w:t>
      </w:r>
      <w:proofErr w:type="gramEnd"/>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ı) Sözleşmeli Uzman Tabip Toplam Puanı:</w:t>
      </w:r>
      <w:r w:rsidRPr="00132BA2">
        <w:rPr>
          <w:rFonts w:ascii="Helvetica" w:eastAsia="Times New Roman" w:hAnsi="Helvetica" w:cs="Helvetica"/>
          <w:color w:val="000000"/>
          <w:lang w:eastAsia="tr-TR"/>
        </w:rPr>
        <w:t> Bu Yönerge kapsamındaki tüm uzman tabiplerin personel toplam puanlarının toplamını,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j) Sözleşmeli Pratisyen Tabip Toplam Puanı: </w:t>
      </w:r>
      <w:r w:rsidRPr="00132BA2">
        <w:rPr>
          <w:rFonts w:ascii="Helvetica" w:eastAsia="Times New Roman" w:hAnsi="Helvetica" w:cs="Helvetica"/>
          <w:color w:val="000000"/>
          <w:lang w:eastAsia="tr-TR"/>
        </w:rPr>
        <w:t>Bu Yönerge kapsamındaki tüm pratisyen tabiplerin personel toplam puanlarının toplamını,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xml:space="preserve">k) Sözleşmeli Uzman Tabiplere Dağıtılacak Toplam Ek Ödeme </w:t>
      </w:r>
      <w:proofErr w:type="gramStart"/>
      <w:r w:rsidRPr="00132BA2">
        <w:rPr>
          <w:rFonts w:ascii="Helvetica" w:eastAsia="Times New Roman" w:hAnsi="Helvetica" w:cs="Helvetica"/>
          <w:b/>
          <w:bCs/>
          <w:color w:val="000000"/>
          <w:lang w:eastAsia="tr-TR"/>
        </w:rPr>
        <w:t>Tutarı :</w:t>
      </w:r>
      <w:r w:rsidRPr="00132BA2">
        <w:rPr>
          <w:rFonts w:ascii="Helvetica" w:eastAsia="Times New Roman" w:hAnsi="Helvetica" w:cs="Helvetica"/>
          <w:color w:val="000000"/>
          <w:lang w:eastAsia="tr-TR"/>
        </w:rPr>
        <w:t> O</w:t>
      </w:r>
      <w:proofErr w:type="gramEnd"/>
      <w:r w:rsidRPr="00132BA2">
        <w:rPr>
          <w:rFonts w:ascii="Helvetica" w:eastAsia="Times New Roman" w:hAnsi="Helvetica" w:cs="Helvetica"/>
          <w:color w:val="000000"/>
          <w:lang w:eastAsia="tr-TR"/>
        </w:rPr>
        <w:t xml:space="preserve"> ek ödeme dönemi için Bakanlıkça belirlenen, uzman tabiplere dağıtılacak toplam ek ödeme tutarını, </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l) Sözleşmeli Pratisyen Tabipler Dağıtılacak Toplam Ek Ödeme Tutarı:</w:t>
      </w:r>
      <w:r w:rsidRPr="00132BA2">
        <w:rPr>
          <w:rFonts w:ascii="Helvetica" w:eastAsia="Times New Roman" w:hAnsi="Helvetica" w:cs="Helvetica"/>
          <w:color w:val="000000"/>
          <w:lang w:eastAsia="tr-TR"/>
        </w:rPr>
        <w:t> O ek ödeme dönemi için Bakanlıkça belirlenen, pratisyen tabiplere dağıtılacak toplam ek ödeme tutarını, </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 Sözleşmeli Uzman Tabip Dönem Ek Ödeme Katsayısı: </w:t>
      </w:r>
      <w:r w:rsidRPr="00132BA2">
        <w:rPr>
          <w:rFonts w:ascii="Helvetica" w:eastAsia="Times New Roman" w:hAnsi="Helvetica" w:cs="Helvetica"/>
          <w:color w:val="000000"/>
          <w:lang w:eastAsia="tr-TR"/>
        </w:rPr>
        <w:t>Uzman tabiplere dağıtılacak toplam ek ödeme tutarının, uzman tabipler toplam puanına bölümü sonucu bulunan katsayıyı,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n) Sözleşmeli Pratisyen Tabipler Dönem Ek Ödeme Katsayısı: </w:t>
      </w:r>
      <w:r w:rsidRPr="00132BA2">
        <w:rPr>
          <w:rFonts w:ascii="Helvetica" w:eastAsia="Times New Roman" w:hAnsi="Helvetica" w:cs="Helvetica"/>
          <w:color w:val="000000"/>
          <w:lang w:eastAsia="tr-TR"/>
        </w:rPr>
        <w:t>Pratisyen tabiplere dağıtılacak toplam ek ödeme tutarının, pratisyen tabipler toplam puanına bölümü sonucu bulunan katsayıyı,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o) Bakanlık Merkez Payından  Yapılacak Brüt Ek Ödeme Tutarı: </w:t>
      </w:r>
      <w:r w:rsidRPr="00132BA2">
        <w:rPr>
          <w:rFonts w:ascii="Helvetica" w:eastAsia="Times New Roman" w:hAnsi="Helvetica" w:cs="Helvetica"/>
          <w:color w:val="000000"/>
          <w:sz w:val="18"/>
          <w:szCs w:val="18"/>
          <w:lang w:eastAsia="tr-TR"/>
        </w:rPr>
        <w:t>Bu Yönerge esaslarına göre tespit edilen brüt ek ödeme tutarını,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xml:space="preserve">p) Tavan Ek Ödeme Tutarı: Personelin, 657 sayılı Devlet Memurları Kanununa tabi aynı birimde aynı unvanlı kadroda çalışan ve hizmet yılı aynı olan emsalinin bir ayda alacağı aylık (ek gösterge </w:t>
      </w:r>
      <w:proofErr w:type="gramStart"/>
      <w:r w:rsidRPr="00132BA2">
        <w:rPr>
          <w:rFonts w:ascii="Helvetica" w:eastAsia="Times New Roman" w:hAnsi="Helvetica" w:cs="Helvetica"/>
          <w:color w:val="000000"/>
          <w:lang w:eastAsia="tr-TR"/>
        </w:rPr>
        <w:t>dahil</w:t>
      </w:r>
      <w:proofErr w:type="gramEnd"/>
      <w:r w:rsidRPr="00132BA2">
        <w:rPr>
          <w:rFonts w:ascii="Helvetica" w:eastAsia="Times New Roman" w:hAnsi="Helvetica" w:cs="Helvetica"/>
          <w:color w:val="000000"/>
          <w:lang w:eastAsia="tr-TR"/>
        </w:rPr>
        <w:t>), yan ödeme ve her türlü tazminat (makam, temsil ve görev tazminatı hariç) toplamının, sözleşmeli uzman tabipler için (7), pratisyen tabipler için (5) ile çarpımı sonucu bulunan tutarı,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proofErr w:type="gramStart"/>
      <w:r w:rsidRPr="00132BA2">
        <w:rPr>
          <w:rFonts w:ascii="Helvetica" w:eastAsia="Times New Roman" w:hAnsi="Helvetica" w:cs="Helvetica"/>
          <w:color w:val="000000"/>
          <w:lang w:eastAsia="tr-TR"/>
        </w:rPr>
        <w:t>ifade</w:t>
      </w:r>
      <w:proofErr w:type="gramEnd"/>
      <w:r w:rsidRPr="00132BA2">
        <w:rPr>
          <w:rFonts w:ascii="Helvetica" w:eastAsia="Times New Roman" w:hAnsi="Helvetica" w:cs="Helvetica"/>
          <w:color w:val="000000"/>
          <w:lang w:eastAsia="tr-TR"/>
        </w:rPr>
        <w:t xml:space="preserve"> eder.</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Temel Esaslar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5-</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lastRenderedPageBreak/>
        <w:t>a)</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 xml:space="preserve">Bu Yönerge kapsamında personele bir ayda yapılacak ek ödeme tutarı, personelin tabi olduğu performans yönergesi kapsamındaki ek ödeme tutarının toplamı ile 657 sayılı Devlet Memurları Kanununa tabi aynı birimde aynı unvanlı kadroda çalışan ve hizmet yılı aynı olan emsalinin bir ayda alacağı aylık (ek gösterge </w:t>
      </w:r>
      <w:proofErr w:type="gramStart"/>
      <w:r w:rsidRPr="00132BA2">
        <w:rPr>
          <w:rFonts w:ascii="Helvetica" w:eastAsia="Times New Roman" w:hAnsi="Helvetica" w:cs="Helvetica"/>
          <w:color w:val="000000"/>
          <w:lang w:eastAsia="tr-TR"/>
        </w:rPr>
        <w:t>dahil</w:t>
      </w:r>
      <w:proofErr w:type="gramEnd"/>
      <w:r w:rsidRPr="00132BA2">
        <w:rPr>
          <w:rFonts w:ascii="Helvetica" w:eastAsia="Times New Roman" w:hAnsi="Helvetica" w:cs="Helvetica"/>
          <w:color w:val="000000"/>
          <w:lang w:eastAsia="tr-TR"/>
        </w:rPr>
        <w:t>), yan ödeme ve her türlü tazminat (makam, temsil ve görev tazminatı hariç) toplamının, sözleşmeli pratisyen tabipler için % 500’ ünü, sözleşmeli uzman tabipler için % 700’ ünü geçemez.</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b)</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 xml:space="preserve">Bu Yönergeye ekli (1) sayılı listede yer alan illerin Sağlık Müdürlükleri illerindeki, yönergeye ekli (3) sayılı listedeki yerlerde </w:t>
      </w:r>
      <w:proofErr w:type="spellStart"/>
      <w:r w:rsidRPr="00132BA2">
        <w:rPr>
          <w:rFonts w:ascii="Helvetica" w:eastAsia="Times New Roman" w:hAnsi="Helvetica" w:cs="Helvetica"/>
          <w:color w:val="000000"/>
          <w:lang w:eastAsia="tr-TR"/>
        </w:rPr>
        <w:t>çalışanpersonele</w:t>
      </w:r>
      <w:proofErr w:type="spellEnd"/>
      <w:r w:rsidRPr="00132BA2">
        <w:rPr>
          <w:rFonts w:ascii="Helvetica" w:eastAsia="Times New Roman" w:hAnsi="Helvetica" w:cs="Helvetica"/>
          <w:color w:val="000000"/>
          <w:lang w:eastAsia="tr-TR"/>
        </w:rPr>
        <w:t xml:space="preserve"> ilişkin, ödeme dönemine ait bilgilerin bulunduğu yönergeye ekli (2) sayılı listeyi, en geç ödeme dönemini takip eden ayın son gününe kadar Bakanlığa ulaştırırlar.</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c)</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 xml:space="preserve">Bakanlık Araştırma, Planlama ve Koordinasyon Kurulu Başkanlığı, İllerden kendisine ulaşan personele ilişkin (2) sayılı listeleri birleştirerek bu Yönerge esaslarına göre, kapsama </w:t>
      </w:r>
      <w:proofErr w:type="gramStart"/>
      <w:r w:rsidRPr="00132BA2">
        <w:rPr>
          <w:rFonts w:ascii="Helvetica" w:eastAsia="Times New Roman" w:hAnsi="Helvetica" w:cs="Helvetica"/>
          <w:color w:val="000000"/>
          <w:lang w:eastAsia="tr-TR"/>
        </w:rPr>
        <w:t>dahil</w:t>
      </w:r>
      <w:proofErr w:type="gramEnd"/>
      <w:r w:rsidRPr="00132BA2">
        <w:rPr>
          <w:rFonts w:ascii="Helvetica" w:eastAsia="Times New Roman" w:hAnsi="Helvetica" w:cs="Helvetica"/>
          <w:color w:val="000000"/>
          <w:lang w:eastAsia="tr-TR"/>
        </w:rPr>
        <w:t xml:space="preserve"> personelin ek ödeme tutarlarını belirler. Anılan Başkanlık, listelerin kendisine ulaştığı ayı takip eden ayın 15 inci günü mesai bitimine kadar, belirlenen bu tutarları, gönderme yapılacak her bir saymanlık adına tahakkuk ettirerek personelin bağlı olduğu kurum veya kuruluş saymanlığına aktarılmak üzere Bakanlık Merkez Döner Sermaye Saymanlığına teslim eder. Başkanlık, tahakkuk evrakı ekine, Bakanlıkça belirlenen personel bürüt ek ödeme tutarlarını gösteren  listeyi  iki nüsha olarak ekler.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Bakanlık Merkez Döner Sermaye Saymanlığı, kendisine teslim edilen tahakkuk evrakı üzerinde en geç 2 iş günü içerisinde gerekli incelemeleri yaparak aktarılması gereken tutarları, ilgili personelin görev yaptığı kurum veya kuruluş saymanlığının banka hesabına, tahakkuk evrakı ekinde alınan listelerin bir nüshasını da saymanlığa gönderir.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Hesabına aktarma yapılan Saymanlık, banka hesabına intikal ettirilen tutarı Maliye Bakanlığınca tespit edilen emanet nitelikli bir hesaba alacak kaydeder. Merkezden gönderilen listeler ilgili saymanlığa ulaştıktan sonra, aktarılan tutar üzerinden, personele daha önce ödenen aylık ücret ve döner sermaye ödemelerine ilişkin süregelen gelir vergisi matrahını da dikkate alarak, gelir vergisi ve damga vergisi kesintisi yapmak suretiyle personele ek ödeme yapar.</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d)</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Yönergeye ekli (2) sayılı cetvelde yer alan personelin kurum brüt ek ödeme tutarı, personelin tavan ek ödeme tutarına eşit veya fazlaysa,  Bakanlık merkez payından ek ödeme yapılmaz.</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e)</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Ödeme dönemleri için personelin tabi olduğu performans yönergesi kapsamında ek ödeme kesintisi yapılması durumunda, aynı şekilde bu Yönerge esaslarına göre yapılan ek ödemede de kesinti yapılır. Sonradan yapılan kesintiler, Bakanlık Merkez Döner Sermaye Saymanlığına iade edilir.</w:t>
      </w:r>
    </w:p>
    <w:p w:rsidR="00132BA2" w:rsidRPr="00132BA2" w:rsidRDefault="00132BA2" w:rsidP="00132BA2">
      <w:pPr>
        <w:shd w:val="clear" w:color="auto" w:fill="FFFFFF"/>
        <w:spacing w:before="150" w:after="225" w:line="243" w:lineRule="atLeast"/>
        <w:ind w:firstLine="900"/>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f)</w:t>
      </w:r>
      <w:r w:rsidRPr="00132BA2">
        <w:rPr>
          <w:rFonts w:ascii="Times New Roman" w:eastAsia="Times New Roman" w:hAnsi="Times New Roman" w:cs="Times New Roman"/>
          <w:color w:val="000000"/>
          <w:sz w:val="14"/>
          <w:szCs w:val="14"/>
          <w:lang w:eastAsia="tr-TR"/>
        </w:rPr>
        <w:t>             </w:t>
      </w:r>
      <w:r w:rsidRPr="00132BA2">
        <w:rPr>
          <w:rFonts w:ascii="Helvetica" w:eastAsia="Times New Roman" w:hAnsi="Helvetica" w:cs="Helvetica"/>
          <w:color w:val="000000"/>
          <w:lang w:eastAsia="tr-TR"/>
        </w:rPr>
        <w:t>Bu Yönergeye ekli (1) sayılı listede yer alan İllerin Sağlık Müdürlükleri yönergeye ekli (2) sayılı listeyi yönergede belirtilen zamanda Araştırma, Planlama ve Koordinasyon Kurulu Başkanlığına ulaştırmaktan sorumludurlar.</w:t>
      </w:r>
    </w:p>
    <w:p w:rsidR="00132BA2" w:rsidRPr="00132BA2" w:rsidRDefault="00132BA2" w:rsidP="00132BA2">
      <w:pPr>
        <w:shd w:val="clear" w:color="auto" w:fill="FFFFFF"/>
        <w:spacing w:before="150" w:after="225" w:line="243" w:lineRule="atLeast"/>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Ek Ödemenin Hesaplanması</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6-</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xml:space="preserve">Bakanlık merkez payından personel için yapılacak brüt ek ödeme tutarı; uzman tabipler için, personel toplam puanının sözleşmeli uzman tabip dönem ek ödeme katsayısı, pratisyen tabipler için ise sözleşmeli pratisyen tabip dönem ek ödeme katsayısı ile çarpımı sonucu bulunan tutarın, aktif çalışma gün katsayısı ile çarpılması suretiyle bulunur. Ancak bu şekilde </w:t>
      </w:r>
      <w:r w:rsidRPr="00132BA2">
        <w:rPr>
          <w:rFonts w:ascii="Helvetica" w:eastAsia="Times New Roman" w:hAnsi="Helvetica" w:cs="Helvetica"/>
          <w:color w:val="000000"/>
          <w:lang w:eastAsia="tr-TR"/>
        </w:rPr>
        <w:lastRenderedPageBreak/>
        <w:t>bulunan tutar ile personelin kurum brüt ek ödeme tutarının toplamı, personelin tavan ek ödeme tutarından fazla ise Bakanlık merkez payından yapılacak brüt ek ödeme tutarı, personelin tavan ek ödeme tutarından kurum brüt ek ödeme tutarının çıkarılması sonucu bulunur.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Personelin bağlı olduğu saymanlık bu ödemeyi yaparken bütün hususları da göz önünde tutarak her dönem için personelin tavan ek ödeme tutarını geçmeyecek şekilde ödeme yapar.</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Yürürlük</w:t>
      </w:r>
    </w:p>
    <w:p w:rsidR="00132BA2" w:rsidRPr="00132BA2" w:rsidRDefault="00132BA2" w:rsidP="00132BA2">
      <w:pPr>
        <w:shd w:val="clear" w:color="auto" w:fill="FFFFFF"/>
        <w:spacing w:before="150" w:after="225" w:line="243" w:lineRule="atLeast"/>
        <w:ind w:firstLine="708"/>
        <w:jc w:val="both"/>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7-</w:t>
      </w:r>
      <w:r w:rsidRPr="00132BA2">
        <w:rPr>
          <w:rFonts w:ascii="Helvetica" w:eastAsia="Times New Roman" w:hAnsi="Helvetica" w:cs="Helvetica"/>
          <w:color w:val="000000"/>
          <w:lang w:eastAsia="tr-TR"/>
        </w:rPr>
        <w:t xml:space="preserve"> Maliye Bakanlığının uygun görüşü alınan bu Yönerge, </w:t>
      </w:r>
      <w:proofErr w:type="gramStart"/>
      <w:r w:rsidRPr="00132BA2">
        <w:rPr>
          <w:rFonts w:ascii="Helvetica" w:eastAsia="Times New Roman" w:hAnsi="Helvetica" w:cs="Helvetica"/>
          <w:color w:val="000000"/>
          <w:lang w:eastAsia="tr-TR"/>
        </w:rPr>
        <w:t>01/01/2005</w:t>
      </w:r>
      <w:proofErr w:type="gramEnd"/>
      <w:r w:rsidRPr="00132BA2">
        <w:rPr>
          <w:rFonts w:ascii="Helvetica" w:eastAsia="Times New Roman" w:hAnsi="Helvetica" w:cs="Helvetica"/>
          <w:color w:val="000000"/>
          <w:lang w:eastAsia="tr-TR"/>
        </w:rPr>
        <w:t xml:space="preserve"> tarihinden itibaren geçerli olmak üzere Bakan Onayı ile yürürlüğe girer.</w:t>
      </w:r>
    </w:p>
    <w:p w:rsidR="00132BA2" w:rsidRPr="00132BA2" w:rsidRDefault="00132BA2" w:rsidP="00132BA2">
      <w:pPr>
        <w:shd w:val="clear" w:color="auto" w:fill="FFFFFF"/>
        <w:spacing w:before="150" w:after="225" w:line="243" w:lineRule="atLeast"/>
        <w:jc w:val="both"/>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Yürütme</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Madde 8-</w:t>
      </w:r>
      <w:r w:rsidRPr="00132BA2">
        <w:rPr>
          <w:rFonts w:ascii="Helvetica" w:eastAsia="Times New Roman" w:hAnsi="Helvetica" w:cs="Helvetica"/>
          <w:color w:val="000000"/>
          <w:lang w:eastAsia="tr-TR"/>
        </w:rPr>
        <w:t> Bu Yönerge hükümlerini Sağlık Bakanı yürütür.</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Default="00132BA2" w:rsidP="00132BA2">
      <w:pPr>
        <w:shd w:val="clear" w:color="auto" w:fill="FFFFFF"/>
        <w:spacing w:before="150" w:after="225" w:line="243" w:lineRule="atLeast"/>
        <w:jc w:val="center"/>
        <w:rPr>
          <w:rFonts w:ascii="Helvetica" w:eastAsia="Times New Roman" w:hAnsi="Helvetica" w:cs="Helvetica"/>
          <w:b/>
          <w:bCs/>
          <w:color w:val="000000"/>
          <w:lang w:eastAsia="tr-TR"/>
        </w:rPr>
      </w:pP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lastRenderedPageBreak/>
        <w:t>EK-1</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İLLER</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tbl>
      <w:tblPr>
        <w:tblW w:w="1963" w:type="dxa"/>
        <w:tblInd w:w="55" w:type="dxa"/>
        <w:shd w:val="clear" w:color="auto" w:fill="FFFFFF"/>
        <w:tblCellMar>
          <w:left w:w="0" w:type="dxa"/>
          <w:right w:w="0" w:type="dxa"/>
        </w:tblCellMar>
        <w:tblLook w:val="04A0" w:firstRow="1" w:lastRow="0" w:firstColumn="1" w:lastColumn="0" w:noHBand="0" w:noVBand="1"/>
      </w:tblPr>
      <w:tblGrid>
        <w:gridCol w:w="360"/>
        <w:gridCol w:w="2187"/>
      </w:tblGrid>
      <w:tr w:rsidR="00132BA2" w:rsidRPr="00132BA2" w:rsidTr="00132BA2">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w:t>
            </w:r>
          </w:p>
        </w:tc>
        <w:tc>
          <w:tcPr>
            <w:tcW w:w="1603"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Adıyaman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Ağrı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Bayburt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Diyarbakır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Elazığ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proofErr w:type="gramStart"/>
            <w:r w:rsidRPr="00132BA2">
              <w:rPr>
                <w:rFonts w:ascii="Times New Roman" w:eastAsia="Times New Roman" w:hAnsi="Times New Roman" w:cs="Times New Roman"/>
                <w:color w:val="000000"/>
                <w:lang w:eastAsia="tr-TR"/>
              </w:rPr>
              <w:t>Hakkari</w:t>
            </w:r>
            <w:proofErr w:type="gramEnd"/>
            <w:r w:rsidRPr="00132BA2">
              <w:rPr>
                <w:rFonts w:ascii="Times New Roman" w:eastAsia="Times New Roman" w:hAnsi="Times New Roman" w:cs="Times New Roman"/>
                <w:color w:val="000000"/>
                <w:lang w:eastAsia="tr-TR"/>
              </w:rPr>
              <w:t>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Iğdır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Kahramanmaraş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20</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Şanlıurfa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23</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Şırnak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24</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w:t>
            </w:r>
          </w:p>
        </w:tc>
      </w:tr>
      <w:tr w:rsidR="00132BA2" w:rsidRPr="00132BA2" w:rsidTr="00132BA2">
        <w:trPr>
          <w:trHeight w:val="315"/>
        </w:trPr>
        <w:tc>
          <w:tcPr>
            <w:tcW w:w="360"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25</w:t>
            </w:r>
          </w:p>
        </w:tc>
        <w:tc>
          <w:tcPr>
            <w:tcW w:w="1603"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32BA2" w:rsidRPr="00132BA2" w:rsidRDefault="00132BA2" w:rsidP="00132BA2">
            <w:pPr>
              <w:spacing w:before="150" w:after="225" w:line="243" w:lineRule="atLeast"/>
              <w:jc w:val="both"/>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w:t>
            </w:r>
          </w:p>
        </w:tc>
      </w:tr>
    </w:tbl>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lastRenderedPageBreak/>
        <w:t>EK-2</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PERSONEL BİLGİLERİ</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tbl>
      <w:tblPr>
        <w:tblW w:w="9851" w:type="dxa"/>
        <w:shd w:val="clear" w:color="auto" w:fill="FFFFFF"/>
        <w:tblCellMar>
          <w:left w:w="0" w:type="dxa"/>
          <w:right w:w="0" w:type="dxa"/>
        </w:tblCellMar>
        <w:tblLook w:val="04A0" w:firstRow="1" w:lastRow="0" w:firstColumn="1" w:lastColumn="0" w:noHBand="0" w:noVBand="1"/>
      </w:tblPr>
      <w:tblGrid>
        <w:gridCol w:w="461"/>
        <w:gridCol w:w="860"/>
        <w:gridCol w:w="655"/>
        <w:gridCol w:w="436"/>
        <w:gridCol w:w="928"/>
        <w:gridCol w:w="793"/>
        <w:gridCol w:w="1230"/>
        <w:gridCol w:w="808"/>
        <w:gridCol w:w="1267"/>
        <w:gridCol w:w="1330"/>
        <w:gridCol w:w="1083"/>
      </w:tblGrid>
      <w:tr w:rsidR="00132BA2" w:rsidRPr="00132BA2" w:rsidTr="00132BA2">
        <w:trPr>
          <w:trHeight w:val="394"/>
        </w:trPr>
        <w:tc>
          <w:tcPr>
            <w:tcW w:w="145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DÖNEMİ</w:t>
            </w:r>
          </w:p>
        </w:tc>
        <w:tc>
          <w:tcPr>
            <w:tcW w:w="122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KURUMU</w:t>
            </w:r>
          </w:p>
        </w:tc>
        <w:tc>
          <w:tcPr>
            <w:tcW w:w="85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8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SAYMANLIĞI VE SAYMANLIK HESAP NO</w:t>
            </w:r>
          </w:p>
        </w:tc>
        <w:tc>
          <w:tcPr>
            <w:tcW w:w="2092"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38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DÜZENLENME TARİHİ</w:t>
            </w:r>
          </w:p>
        </w:tc>
        <w:tc>
          <w:tcPr>
            <w:tcW w:w="113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r>
      <w:tr w:rsidR="00132BA2" w:rsidRPr="00132BA2" w:rsidTr="00132BA2">
        <w:trPr>
          <w:trHeight w:val="970"/>
        </w:trPr>
        <w:tc>
          <w:tcPr>
            <w:tcW w:w="49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NO</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ADI SOYADI</w:t>
            </w:r>
          </w:p>
        </w:tc>
        <w:tc>
          <w:tcPr>
            <w:tcW w:w="7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SİCİL NO</w:t>
            </w:r>
          </w:p>
        </w:tc>
        <w:tc>
          <w:tcPr>
            <w:tcW w:w="47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İLİ</w:t>
            </w:r>
          </w:p>
        </w:tc>
        <w:tc>
          <w:tcPr>
            <w:tcW w:w="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İLÇESİ</w:t>
            </w:r>
          </w:p>
        </w:tc>
        <w:tc>
          <w:tcPr>
            <w:tcW w:w="8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GÖREV YERİ</w:t>
            </w:r>
          </w:p>
        </w:tc>
        <w:tc>
          <w:tcPr>
            <w:tcW w:w="88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ÜNVANI</w:t>
            </w:r>
          </w:p>
        </w:tc>
        <w:tc>
          <w:tcPr>
            <w:tcW w:w="81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TAVAN EK ÖDEME</w:t>
            </w:r>
          </w:p>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TUTARI</w:t>
            </w:r>
          </w:p>
        </w:tc>
        <w:tc>
          <w:tcPr>
            <w:tcW w:w="12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KURUMUNCA YAPILAN BÜRÜT EK ÖDEME TUTARI</w:t>
            </w:r>
          </w:p>
        </w:tc>
        <w:tc>
          <w:tcPr>
            <w:tcW w:w="138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KURUMUNCA HESAPLANAN NET PERFORMANS PUANI</w:t>
            </w:r>
          </w:p>
        </w:tc>
        <w:tc>
          <w:tcPr>
            <w:tcW w:w="11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16"/>
                <w:szCs w:val="16"/>
                <w:lang w:eastAsia="tr-TR"/>
              </w:rPr>
              <w:t>AKTİF ÇALIŞMA GÜN KATSAYISI</w:t>
            </w:r>
          </w:p>
        </w:tc>
      </w:tr>
      <w:tr w:rsidR="00132BA2" w:rsidRPr="00132BA2" w:rsidTr="00132BA2">
        <w:trPr>
          <w:trHeight w:val="197"/>
        </w:trPr>
        <w:tc>
          <w:tcPr>
            <w:tcW w:w="49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7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47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8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1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2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38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1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r>
      <w:tr w:rsidR="00132BA2" w:rsidRPr="00132BA2" w:rsidTr="00132BA2">
        <w:trPr>
          <w:trHeight w:val="182"/>
        </w:trPr>
        <w:tc>
          <w:tcPr>
            <w:tcW w:w="49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7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47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8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1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2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38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1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r>
      <w:tr w:rsidR="00132BA2" w:rsidRPr="00132BA2" w:rsidTr="00132BA2">
        <w:trPr>
          <w:trHeight w:val="197"/>
        </w:trPr>
        <w:tc>
          <w:tcPr>
            <w:tcW w:w="49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7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47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8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1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2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38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1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r>
      <w:tr w:rsidR="00132BA2" w:rsidRPr="00132BA2" w:rsidTr="00132BA2">
        <w:trPr>
          <w:trHeight w:val="197"/>
        </w:trPr>
        <w:tc>
          <w:tcPr>
            <w:tcW w:w="49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7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47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8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81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26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38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c>
          <w:tcPr>
            <w:tcW w:w="11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sz w:val="24"/>
                <w:szCs w:val="24"/>
                <w:lang w:eastAsia="tr-TR"/>
              </w:rPr>
              <w:t> </w:t>
            </w:r>
          </w:p>
        </w:tc>
      </w:tr>
    </w:tbl>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İMZA                                                 İMZA                                      İMZA</w:t>
      </w:r>
    </w:p>
    <w:p w:rsidR="00132BA2" w:rsidRPr="00132BA2" w:rsidRDefault="00132BA2" w:rsidP="00132BA2">
      <w:pPr>
        <w:shd w:val="clear" w:color="auto" w:fill="FFFFFF"/>
        <w:spacing w:before="150" w:after="225" w:line="243" w:lineRule="atLeast"/>
        <w:ind w:firstLine="708"/>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xml:space="preserve">Sayman                              Kurum </w:t>
      </w:r>
      <w:proofErr w:type="spellStart"/>
      <w:r w:rsidRPr="00132BA2">
        <w:rPr>
          <w:rFonts w:ascii="Helvetica" w:eastAsia="Times New Roman" w:hAnsi="Helvetica" w:cs="Helvetica"/>
          <w:b/>
          <w:bCs/>
          <w:color w:val="000000"/>
          <w:lang w:eastAsia="tr-TR"/>
        </w:rPr>
        <w:t>Tah</w:t>
      </w:r>
      <w:proofErr w:type="spellEnd"/>
      <w:r w:rsidRPr="00132BA2">
        <w:rPr>
          <w:rFonts w:ascii="Helvetica" w:eastAsia="Times New Roman" w:hAnsi="Helvetica" w:cs="Helvetica"/>
          <w:b/>
          <w:bCs/>
          <w:color w:val="000000"/>
          <w:lang w:eastAsia="tr-TR"/>
        </w:rPr>
        <w:t xml:space="preserve">. </w:t>
      </w:r>
      <w:proofErr w:type="spellStart"/>
      <w:r w:rsidRPr="00132BA2">
        <w:rPr>
          <w:rFonts w:ascii="Helvetica" w:eastAsia="Times New Roman" w:hAnsi="Helvetica" w:cs="Helvetica"/>
          <w:b/>
          <w:bCs/>
          <w:color w:val="000000"/>
          <w:lang w:eastAsia="tr-TR"/>
        </w:rPr>
        <w:t>Mem</w:t>
      </w:r>
      <w:proofErr w:type="spellEnd"/>
      <w:r w:rsidRPr="00132BA2">
        <w:rPr>
          <w:rFonts w:ascii="Helvetica" w:eastAsia="Times New Roman" w:hAnsi="Helvetica" w:cs="Helvetica"/>
          <w:b/>
          <w:bCs/>
          <w:color w:val="000000"/>
          <w:lang w:eastAsia="tr-TR"/>
        </w:rPr>
        <w:t>.                       Kurum  Amiri</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proofErr w:type="gramStart"/>
      <w:r w:rsidRPr="00132BA2">
        <w:rPr>
          <w:rFonts w:ascii="Helvetica" w:eastAsia="Times New Roman" w:hAnsi="Helvetica" w:cs="Helvetica"/>
          <w:color w:val="000000"/>
          <w:lang w:eastAsia="tr-TR"/>
        </w:rPr>
        <w:t>Açıklama : 1</w:t>
      </w:r>
      <w:proofErr w:type="gramEnd"/>
      <w:r w:rsidRPr="00132BA2">
        <w:rPr>
          <w:rFonts w:ascii="Helvetica" w:eastAsia="Times New Roman" w:hAnsi="Helvetica" w:cs="Helvetica"/>
          <w:color w:val="000000"/>
          <w:lang w:eastAsia="tr-TR"/>
        </w:rPr>
        <w:t xml:space="preserve"> inci basamakta çalışan sözleşmeli personel için tek liste olarak  </w:t>
      </w:r>
      <w:proofErr w:type="spellStart"/>
      <w:r w:rsidRPr="00132BA2">
        <w:rPr>
          <w:rFonts w:ascii="Helvetica" w:eastAsia="Times New Roman" w:hAnsi="Helvetica" w:cs="Helvetica"/>
          <w:color w:val="000000"/>
          <w:lang w:eastAsia="tr-TR"/>
        </w:rPr>
        <w:t>doldurulacaktır.Kurumu</w:t>
      </w:r>
      <w:proofErr w:type="spellEnd"/>
      <w:r w:rsidRPr="00132BA2">
        <w:rPr>
          <w:rFonts w:ascii="Helvetica" w:eastAsia="Times New Roman" w:hAnsi="Helvetica" w:cs="Helvetica"/>
          <w:color w:val="000000"/>
          <w:lang w:eastAsia="tr-TR"/>
        </w:rPr>
        <w:t xml:space="preserve"> bölümüne Sağlık Müdürlüğü yazılacaktır.</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Aynı şekilde her 2 inci basamak Sağlık Kurumu için ayrı ayrı doldurulacaktır.</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xml:space="preserve">Bilgiler ayrıca elektronik ortamda (Microsoft </w:t>
      </w:r>
      <w:proofErr w:type="spellStart"/>
      <w:r w:rsidRPr="00132BA2">
        <w:rPr>
          <w:rFonts w:ascii="Helvetica" w:eastAsia="Times New Roman" w:hAnsi="Helvetica" w:cs="Helvetica"/>
          <w:color w:val="000000"/>
          <w:lang w:eastAsia="tr-TR"/>
        </w:rPr>
        <w:t>excel</w:t>
      </w:r>
      <w:proofErr w:type="spellEnd"/>
      <w:r w:rsidRPr="00132BA2">
        <w:rPr>
          <w:rFonts w:ascii="Helvetica" w:eastAsia="Times New Roman" w:hAnsi="Helvetica" w:cs="Helvetica"/>
          <w:color w:val="000000"/>
          <w:lang w:eastAsia="tr-TR"/>
        </w:rPr>
        <w:t>) düzenlenerek yazıya eklenecektir.</w:t>
      </w:r>
    </w:p>
    <w:p w:rsidR="00132BA2" w:rsidRPr="00132BA2" w:rsidRDefault="00132BA2" w:rsidP="00132BA2">
      <w:pPr>
        <w:shd w:val="clear" w:color="auto" w:fill="FFFFFF"/>
        <w:spacing w:before="150" w:after="225" w:line="243" w:lineRule="atLeast"/>
        <w:ind w:firstLine="708"/>
        <w:rPr>
          <w:rFonts w:ascii="Helvetica" w:eastAsia="Times New Roman" w:hAnsi="Helvetica" w:cs="Helvetica"/>
          <w:color w:val="000000"/>
          <w:sz w:val="18"/>
          <w:szCs w:val="18"/>
          <w:lang w:eastAsia="tr-TR"/>
        </w:rPr>
      </w:pPr>
      <w:r w:rsidRPr="00132BA2">
        <w:rPr>
          <w:rFonts w:ascii="Helvetica" w:eastAsia="Times New Roman" w:hAnsi="Helvetica" w:cs="Helvetica"/>
          <w:color w:val="000000"/>
          <w:lang w:eastAsia="tr-TR"/>
        </w:rPr>
        <w:t> </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lastRenderedPageBreak/>
        <w:t>EK-3</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BAKANLIK TARAFINDAN BELİRLENEN, YÖNERGE KAPSAMINDA YERALAN SÖZLEŞMELİ POZİSYONLARIN BULUNDUĞU YERLER VE BÖLGE GELİŞMİŞLİK KATSAYISI</w:t>
      </w:r>
    </w:p>
    <w:p w:rsidR="00132BA2" w:rsidRPr="00132BA2" w:rsidRDefault="00132BA2" w:rsidP="00132BA2">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132BA2">
        <w:rPr>
          <w:rFonts w:ascii="Helvetica" w:eastAsia="Times New Roman" w:hAnsi="Helvetica" w:cs="Helvetica"/>
          <w:b/>
          <w:bCs/>
          <w:color w:val="000000"/>
          <w:lang w:eastAsia="tr-TR"/>
        </w:rPr>
        <w:t> </w:t>
      </w:r>
    </w:p>
    <w:p w:rsidR="00132BA2" w:rsidRPr="00132BA2" w:rsidRDefault="00132BA2" w:rsidP="00132BA2">
      <w:pPr>
        <w:shd w:val="clear" w:color="auto" w:fill="FFFFFF"/>
        <w:spacing w:before="150" w:after="225" w:line="243" w:lineRule="atLeast"/>
        <w:rPr>
          <w:rFonts w:ascii="Helvetica" w:eastAsia="Times New Roman" w:hAnsi="Helvetica" w:cs="Helvetica"/>
          <w:color w:val="000000"/>
          <w:sz w:val="18"/>
          <w:szCs w:val="18"/>
          <w:lang w:eastAsia="tr-TR"/>
        </w:rPr>
      </w:pPr>
      <w:bookmarkStart w:id="1" w:name="OLE_LINK1"/>
      <w:r w:rsidRPr="00132BA2">
        <w:rPr>
          <w:rFonts w:ascii="Helvetica" w:eastAsia="Times New Roman" w:hAnsi="Helvetica" w:cs="Helvetica"/>
          <w:b/>
          <w:bCs/>
          <w:color w:val="0269B3"/>
          <w:lang w:eastAsia="tr-TR"/>
        </w:rPr>
        <w:t> </w:t>
      </w:r>
      <w:bookmarkEnd w:id="1"/>
    </w:p>
    <w:tbl>
      <w:tblPr>
        <w:tblW w:w="9314" w:type="dxa"/>
        <w:tblInd w:w="58" w:type="dxa"/>
        <w:shd w:val="clear" w:color="auto" w:fill="FFFFFF"/>
        <w:tblCellMar>
          <w:left w:w="0" w:type="dxa"/>
          <w:right w:w="0" w:type="dxa"/>
        </w:tblCellMar>
        <w:tblLook w:val="04A0" w:firstRow="1" w:lastRow="0" w:firstColumn="1" w:lastColumn="0" w:noHBand="0" w:noVBand="1"/>
      </w:tblPr>
      <w:tblGrid>
        <w:gridCol w:w="577"/>
        <w:gridCol w:w="2440"/>
        <w:gridCol w:w="5707"/>
        <w:gridCol w:w="590"/>
      </w:tblGrid>
      <w:tr w:rsidR="00132BA2" w:rsidRPr="00132BA2" w:rsidTr="00132BA2">
        <w:trPr>
          <w:trHeight w:val="270"/>
        </w:trPr>
        <w:tc>
          <w:tcPr>
            <w:tcW w:w="57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w:t>
            </w:r>
          </w:p>
        </w:tc>
        <w:tc>
          <w:tcPr>
            <w:tcW w:w="24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Besni</w:t>
            </w:r>
          </w:p>
        </w:tc>
        <w:tc>
          <w:tcPr>
            <w:tcW w:w="570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1,19</w:t>
            </w:r>
          </w:p>
        </w:tc>
      </w:tr>
      <w:tr w:rsidR="00132BA2" w:rsidRPr="00132BA2" w:rsidTr="00132BA2">
        <w:trPr>
          <w:trHeight w:val="288"/>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Çelikhan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Gerger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Gölbaşı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w:t>
            </w:r>
            <w:proofErr w:type="gramStart"/>
            <w:r w:rsidRPr="00132BA2">
              <w:rPr>
                <w:rFonts w:ascii="Times New Roman" w:eastAsia="Times New Roman" w:hAnsi="Times New Roman" w:cs="Times New Roman"/>
                <w:color w:val="000000"/>
                <w:lang w:eastAsia="tr-TR"/>
              </w:rPr>
              <w:t>Kahta</w:t>
            </w:r>
            <w:proofErr w:type="gramEnd"/>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Samsat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Sincik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ADIYAMAN   Tut       </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Diyadin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AĞRI </w:t>
            </w:r>
            <w:proofErr w:type="spellStart"/>
            <w:r w:rsidRPr="00132BA2">
              <w:rPr>
                <w:rFonts w:ascii="Times New Roman" w:eastAsia="Times New Roman" w:hAnsi="Times New Roman" w:cs="Times New Roman"/>
                <w:color w:val="000000"/>
                <w:lang w:eastAsia="tr-TR"/>
              </w:rPr>
              <w:t>Doğubeyazıt</w:t>
            </w:r>
            <w:proofErr w:type="spellEnd"/>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Eleşkirt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Hamur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Patnos</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Taşlıçay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AĞRI Tutak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Çıldır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Damal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Göle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Hanak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ARDAHAN Posof</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Beşiri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Gercüş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Hasankeyf</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Kozluk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BATMAN Sason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BAYBURT Aydıntepe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BAYBURT Demirözü</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BAYBURT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Adaklı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Genç</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Karlıova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Kiğı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38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Solhan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39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Yayladere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BİNGÖL Yedisu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Adilcevaz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BİTLİS </w:t>
            </w:r>
            <w:proofErr w:type="gramStart"/>
            <w:r w:rsidRPr="00132BA2">
              <w:rPr>
                <w:rFonts w:ascii="Times New Roman" w:eastAsia="Times New Roman" w:hAnsi="Times New Roman" w:cs="Times New Roman"/>
                <w:color w:val="000000"/>
                <w:lang w:eastAsia="tr-TR"/>
              </w:rPr>
              <w:t>Ahlat</w:t>
            </w:r>
            <w:proofErr w:type="gramEnd"/>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Güroymak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Hizan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Mutki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BİTLİS Tatvan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Bismil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49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Çermik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Çınar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Çüngüş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Dicle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Eğil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Ergani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Hani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Hazro</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525"/>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Kocaköy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Kulp</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59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Lice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60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0,69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DİYARBAKIR  Silvan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Ağın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0,58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Alacakaya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Arıcak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Baskil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Karakoçan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Keban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0,67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Kovancılar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0,78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69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Maden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0,42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Palu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ELAZIĞ Sivrice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Çayırlı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İliç</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Kemah</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Kemaliye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0,71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Otlukbeli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79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Refahiye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80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Tercan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ERZİNCAN   Üzümlü</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Aşkale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Çat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Hınıs</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Horasan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Ilıca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İspir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Karaçoban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89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Karayazı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Köprüköy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0,63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Narman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Oltu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Olur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Pasinler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Pazaryolu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Şenkaya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Tekman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99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Tortum</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ERZURUM Uzundere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101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Kelkit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Köse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Kürtün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Şiran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GÜMÜŞHANE Torul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proofErr w:type="gramStart"/>
            <w:r w:rsidRPr="00132BA2">
              <w:rPr>
                <w:rFonts w:ascii="Times New Roman" w:eastAsia="Times New Roman" w:hAnsi="Times New Roman" w:cs="Times New Roman"/>
                <w:color w:val="000000"/>
                <w:lang w:eastAsia="tr-TR"/>
              </w:rPr>
              <w:t>HAKKARİ</w:t>
            </w:r>
            <w:proofErr w:type="gramEnd"/>
            <w:r w:rsidRPr="00132BA2">
              <w:rPr>
                <w:rFonts w:ascii="Times New Roman" w:eastAsia="Times New Roman" w:hAnsi="Times New Roman" w:cs="Times New Roman"/>
                <w:color w:val="000000"/>
                <w:lang w:eastAsia="tr-TR"/>
              </w:rPr>
              <w:t xml:space="preserve"> Çukurca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proofErr w:type="gramStart"/>
            <w:r w:rsidRPr="00132BA2">
              <w:rPr>
                <w:rFonts w:ascii="Times New Roman" w:eastAsia="Times New Roman" w:hAnsi="Times New Roman" w:cs="Times New Roman"/>
                <w:color w:val="000000"/>
                <w:lang w:eastAsia="tr-TR"/>
              </w:rPr>
              <w:t>HAKKARİ</w:t>
            </w:r>
            <w:proofErr w:type="gramEnd"/>
            <w:r w:rsidRPr="00132BA2">
              <w:rPr>
                <w:rFonts w:ascii="Times New Roman" w:eastAsia="Times New Roman" w:hAnsi="Times New Roman" w:cs="Times New Roman"/>
                <w:color w:val="000000"/>
                <w:lang w:eastAsia="tr-TR"/>
              </w:rPr>
              <w:t xml:space="preserve">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proofErr w:type="gramStart"/>
            <w:r w:rsidRPr="00132BA2">
              <w:rPr>
                <w:rFonts w:ascii="Times New Roman" w:eastAsia="Times New Roman" w:hAnsi="Times New Roman" w:cs="Times New Roman"/>
                <w:color w:val="000000"/>
                <w:lang w:eastAsia="tr-TR"/>
              </w:rPr>
              <w:t>HAKKARİ</w:t>
            </w:r>
            <w:proofErr w:type="gramEnd"/>
            <w:r w:rsidRPr="00132BA2">
              <w:rPr>
                <w:rFonts w:ascii="Times New Roman" w:eastAsia="Times New Roman" w:hAnsi="Times New Roman" w:cs="Times New Roman"/>
                <w:color w:val="000000"/>
                <w:lang w:eastAsia="tr-TR"/>
              </w:rPr>
              <w:t xml:space="preserve"> Şemdinli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proofErr w:type="gramStart"/>
            <w:r w:rsidRPr="00132BA2">
              <w:rPr>
                <w:rFonts w:ascii="Times New Roman" w:eastAsia="Times New Roman" w:hAnsi="Times New Roman" w:cs="Times New Roman"/>
                <w:color w:val="000000"/>
                <w:lang w:eastAsia="tr-TR"/>
              </w:rPr>
              <w:t>HAKKARİ</w:t>
            </w:r>
            <w:proofErr w:type="gramEnd"/>
            <w:r w:rsidRPr="00132BA2">
              <w:rPr>
                <w:rFonts w:ascii="Times New Roman" w:eastAsia="Times New Roman" w:hAnsi="Times New Roman" w:cs="Times New Roman"/>
                <w:color w:val="000000"/>
                <w:lang w:eastAsia="tr-TR"/>
              </w:rPr>
              <w:t xml:space="preserve"> Yüksekova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IĞDIR Aralık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IĞDIR Karakoyunlu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IĞDIR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IĞDIR Tuzluca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Afşin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Andırın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1,18</w:t>
            </w:r>
          </w:p>
        </w:tc>
      </w:tr>
      <w:tr w:rsidR="00132BA2" w:rsidRPr="00132BA2" w:rsidTr="00132BA2">
        <w:trPr>
          <w:trHeight w:val="525"/>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Çağlayancerit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Ekinözü</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Elbistan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0,71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Göksun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121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0,54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Nurhak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Pazarcık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K.MARAŞ Türkoğlu</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Akyaka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Arpaçay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Digor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Kağızman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Sarıkamış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Selim</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KARS Susuz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Akçadağ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Arapkir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Arguvan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Battalgazi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Darende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1,03</w:t>
            </w:r>
          </w:p>
        </w:tc>
      </w:tr>
      <w:tr w:rsidR="00132BA2" w:rsidRPr="00132BA2" w:rsidTr="00132BA2">
        <w:trPr>
          <w:trHeight w:val="525"/>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Doğanşehir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Doğanyol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Hekimhan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Kale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142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Kuluncak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0,44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MALATYA </w:t>
            </w:r>
            <w:proofErr w:type="spellStart"/>
            <w:r w:rsidRPr="00132BA2">
              <w:rPr>
                <w:rFonts w:ascii="Times New Roman" w:eastAsia="Times New Roman" w:hAnsi="Times New Roman" w:cs="Times New Roman"/>
                <w:color w:val="000000"/>
                <w:lang w:eastAsia="tr-TR"/>
              </w:rPr>
              <w:t>Pötürge</w:t>
            </w:r>
            <w:proofErr w:type="spellEnd"/>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Yazıhan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MALATYA Yeşilyurt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0,75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Dargeçit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Derik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Kızıltepe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Mazıdağı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Midyat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Nusaybin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Ömerli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Savur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MARDİN Yeşilli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Bulanık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Hasköy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Korkut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Malazgirt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MUŞ Varto</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163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Aydınlar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Baykan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Eruh</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Kurtalan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Pervari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SİİRT Şirvan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Akıncılar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Altınyayla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Divriği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0,77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Doğanşar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Gemerek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Gölova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Gürün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Hafik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İmranlı</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179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Kangal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Koyulhisar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0,58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Suşehri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Şarkışla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184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Ulaş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Yıldızeli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SİVAS Zara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Akçakale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Birecik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189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Bozova</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525"/>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Ceylanpınar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Halfeti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Harran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Hilvan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Siverek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Suruç</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ŞANLIURFA Viranşehir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1,36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Beytüşşebap</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199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Cizre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Güçlükonak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İdil</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Silopi</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1,17</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lastRenderedPageBreak/>
              <w:t>204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ŞIRNAK Uludere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Çemişgezek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Hozat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Mazgirt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1,22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0,61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209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Nazımiye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1,02</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Ovacık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Pertek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TUNCELİ Pülümür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0,94</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Bahçesaray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Başkale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215</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Çaldıran</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216</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Çatak</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217</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Edremit</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1,45</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218</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Erciş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1,41</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219</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Gevaş</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1,53</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220</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Gürpınar</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221</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Merkez</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 xml:space="preserve">Merkez ilçe dışında, merkez ilçeye bağlı (köy, </w:t>
            </w:r>
            <w:proofErr w:type="spellStart"/>
            <w:proofErr w:type="gramStart"/>
            <w:r w:rsidRPr="00132BA2">
              <w:rPr>
                <w:rFonts w:ascii="Times New Roman" w:eastAsia="Times New Roman" w:hAnsi="Times New Roman" w:cs="Times New Roman"/>
                <w:color w:val="000000"/>
                <w:lang w:eastAsia="tr-TR"/>
              </w:rPr>
              <w:t>belde,gibi</w:t>
            </w:r>
            <w:proofErr w:type="spellEnd"/>
            <w:proofErr w:type="gramEnd"/>
            <w:r w:rsidRPr="00132BA2">
              <w:rPr>
                <w:rFonts w:ascii="Times New Roman" w:eastAsia="Times New Roman" w:hAnsi="Times New Roman" w:cs="Times New Roman"/>
                <w:color w:val="000000"/>
                <w:lang w:eastAsia="tr-TR"/>
              </w:rPr>
              <w:t xml:space="preserve">) yerleşim yerlerindeki </w:t>
            </w:r>
            <w:proofErr w:type="spellStart"/>
            <w:r w:rsidRPr="00132BA2">
              <w:rPr>
                <w:rFonts w:ascii="Times New Roman" w:eastAsia="Times New Roman" w:hAnsi="Times New Roman" w:cs="Times New Roman"/>
                <w:color w:val="000000"/>
                <w:lang w:eastAsia="tr-TR"/>
              </w:rPr>
              <w:t>ptarisyen</w:t>
            </w:r>
            <w:proofErr w:type="spellEnd"/>
            <w:r w:rsidRPr="00132BA2">
              <w:rPr>
                <w:rFonts w:ascii="Times New Roman" w:eastAsia="Times New Roman" w:hAnsi="Times New Roman" w:cs="Times New Roman"/>
                <w:color w:val="000000"/>
                <w:lang w:eastAsia="tr-TR"/>
              </w:rPr>
              <w:t xml:space="preserve"> tabip kadroları</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0,89</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222</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Muradiye</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1,58</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223</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Özalp</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1,6</w:t>
            </w:r>
          </w:p>
        </w:tc>
      </w:tr>
      <w:tr w:rsidR="00132BA2" w:rsidRPr="00132BA2" w:rsidTr="00132BA2">
        <w:trPr>
          <w:trHeight w:val="270"/>
        </w:trPr>
        <w:tc>
          <w:tcPr>
            <w:tcW w:w="5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224</w:t>
            </w:r>
          </w:p>
        </w:tc>
        <w:tc>
          <w:tcPr>
            <w:tcW w:w="2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BA2" w:rsidRPr="00132BA2" w:rsidRDefault="00132BA2" w:rsidP="00132BA2">
            <w:pPr>
              <w:spacing w:before="150" w:after="225" w:line="243" w:lineRule="atLeas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VAN Saray</w:t>
            </w:r>
          </w:p>
        </w:tc>
        <w:tc>
          <w:tcPr>
            <w:tcW w:w="5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center"/>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Tüm yerler</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BA2" w:rsidRPr="00132BA2" w:rsidRDefault="00132BA2" w:rsidP="00132BA2">
            <w:pPr>
              <w:spacing w:before="150" w:after="225" w:line="243" w:lineRule="atLeast"/>
              <w:jc w:val="right"/>
              <w:rPr>
                <w:rFonts w:ascii="Times New Roman" w:eastAsia="Times New Roman" w:hAnsi="Times New Roman" w:cs="Times New Roman"/>
                <w:color w:val="000000"/>
                <w:sz w:val="24"/>
                <w:szCs w:val="24"/>
                <w:lang w:eastAsia="tr-TR"/>
              </w:rPr>
            </w:pPr>
            <w:r w:rsidRPr="00132BA2">
              <w:rPr>
                <w:rFonts w:ascii="Times New Roman" w:eastAsia="Times New Roman" w:hAnsi="Times New Roman" w:cs="Times New Roman"/>
                <w:color w:val="000000"/>
                <w:lang w:eastAsia="tr-TR"/>
              </w:rPr>
              <w:t>1,59</w:t>
            </w:r>
          </w:p>
        </w:tc>
      </w:tr>
    </w:tbl>
    <w:p w:rsidR="00B2164A" w:rsidRDefault="00B2164A"/>
    <w:sectPr w:rsidR="00B2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A2"/>
    <w:rsid w:val="00132BA2"/>
    <w:rsid w:val="00576B7F"/>
    <w:rsid w:val="00AD16F3"/>
    <w:rsid w:val="00B2164A"/>
    <w:rsid w:val="00BD4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636F-1106-446A-847A-4A274374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132BA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132B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32BA2"/>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32BA2"/>
    <w:rPr>
      <w:rFonts w:ascii="Times New Roman" w:eastAsia="Times New Roman" w:hAnsi="Times New Roman" w:cs="Times New Roman"/>
      <w:b/>
      <w:bCs/>
      <w:sz w:val="20"/>
      <w:szCs w:val="20"/>
      <w:lang w:eastAsia="tr-TR"/>
    </w:rPr>
  </w:style>
  <w:style w:type="paragraph" w:styleId="GvdeMetni2">
    <w:name w:val="Body Text 2"/>
    <w:basedOn w:val="Normal"/>
    <w:link w:val="GvdeMetni2Char"/>
    <w:uiPriority w:val="99"/>
    <w:semiHidden/>
    <w:unhideWhenUsed/>
    <w:rsid w:val="00132B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32BA2"/>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132B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32BA2"/>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2881</Words>
  <Characters>16428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AKTEPE</dc:creator>
  <cp:keywords/>
  <dc:description/>
  <cp:lastModifiedBy>Ümit MÜFTÜOĞLU</cp:lastModifiedBy>
  <cp:revision>2</cp:revision>
  <dcterms:created xsi:type="dcterms:W3CDTF">2014-07-21T15:28:00Z</dcterms:created>
  <dcterms:modified xsi:type="dcterms:W3CDTF">2014-07-21T15:28:00Z</dcterms:modified>
</cp:coreProperties>
</file>